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18709F9" w:rsidR="0066434B" w:rsidRPr="00214458" w:rsidRDefault="0066434B" w:rsidP="00F235D4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78003F">
        <w:rPr>
          <w:rFonts w:ascii="Arial" w:hAnsi="Arial" w:cs="Arial"/>
          <w:b/>
          <w:bCs/>
          <w:sz w:val="22"/>
        </w:rPr>
        <w:t>9</w:t>
      </w:r>
      <w:r w:rsidR="00F235D4">
        <w:rPr>
          <w:rFonts w:ascii="Arial" w:hAnsi="Arial" w:cs="Arial"/>
          <w:b/>
          <w:bCs/>
          <w:sz w:val="22"/>
        </w:rPr>
        <w:t>2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78003F">
        <w:rPr>
          <w:rFonts w:ascii="Arial" w:hAnsi="Arial" w:cs="Arial"/>
          <w:b/>
          <w:bCs/>
          <w:sz w:val="22"/>
        </w:rPr>
        <w:t xml:space="preserve">  R1-1</w:t>
      </w:r>
      <w:r w:rsidR="00F235D4">
        <w:rPr>
          <w:rFonts w:ascii="Arial" w:hAnsi="Arial" w:cs="Arial"/>
          <w:b/>
          <w:bCs/>
          <w:sz w:val="22"/>
        </w:rPr>
        <w:t>8028</w:t>
      </w:r>
      <w:r w:rsidR="00371DBB">
        <w:rPr>
          <w:rFonts w:ascii="Arial" w:hAnsi="Arial" w:cs="Arial"/>
          <w:b/>
          <w:bCs/>
          <w:sz w:val="22"/>
        </w:rPr>
        <w:t>7</w:t>
      </w:r>
      <w:r w:rsidR="000C6594">
        <w:rPr>
          <w:rFonts w:ascii="Arial" w:hAnsi="Arial" w:cs="Arial"/>
          <w:b/>
          <w:bCs/>
          <w:sz w:val="22"/>
        </w:rPr>
        <w:t>0</w:t>
      </w:r>
    </w:p>
    <w:p w14:paraId="0351D878" w14:textId="4A0CCCC5" w:rsidR="0066434B" w:rsidRPr="00214458" w:rsidRDefault="00F235D4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 w:rsidRPr="00A27B82">
        <w:rPr>
          <w:rFonts w:ascii="Arial" w:hAnsi="Arial" w:cs="Arial"/>
          <w:b/>
          <w:bCs/>
          <w:sz w:val="22"/>
        </w:rPr>
        <w:t>Athens, Greece, February 26</w:t>
      </w:r>
      <w:r w:rsidRPr="00A27B82">
        <w:rPr>
          <w:rFonts w:ascii="Arial" w:hAnsi="Arial" w:cs="Arial"/>
          <w:b/>
          <w:bCs/>
          <w:sz w:val="22"/>
          <w:vertAlign w:val="superscript"/>
        </w:rPr>
        <w:t>th</w:t>
      </w:r>
      <w:r w:rsidRPr="00A27B82">
        <w:rPr>
          <w:rFonts w:ascii="Arial" w:hAnsi="Arial" w:cs="Arial"/>
          <w:b/>
          <w:bCs/>
          <w:sz w:val="22"/>
        </w:rPr>
        <w:t xml:space="preserve"> – March 2</w:t>
      </w:r>
      <w:r w:rsidRPr="00A27B82">
        <w:rPr>
          <w:rFonts w:ascii="Arial" w:hAnsi="Arial" w:cs="Arial"/>
          <w:b/>
          <w:bCs/>
          <w:sz w:val="22"/>
          <w:vertAlign w:val="superscript"/>
        </w:rPr>
        <w:t>nd</w:t>
      </w:r>
      <w:r w:rsidRPr="00A27B82">
        <w:rPr>
          <w:rFonts w:ascii="Arial" w:hAnsi="Arial" w:cs="Arial"/>
          <w:b/>
          <w:bCs/>
          <w:sz w:val="22"/>
        </w:rPr>
        <w:t>, 2018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174B3D0B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1" w:name="Source"/>
      <w:bookmarkEnd w:id="1"/>
      <w:r w:rsidR="000522F3">
        <w:rPr>
          <w:rFonts w:ascii="Arial" w:hAnsi="Arial"/>
          <w:sz w:val="22"/>
        </w:rPr>
        <w:t>7</w:t>
      </w:r>
      <w:r w:rsidR="001E08A2">
        <w:rPr>
          <w:rFonts w:ascii="Arial" w:hAnsi="Arial"/>
          <w:sz w:val="22"/>
        </w:rPr>
        <w:t>.</w:t>
      </w:r>
      <w:r w:rsidR="00B8625A">
        <w:rPr>
          <w:rFonts w:ascii="Arial" w:hAnsi="Arial"/>
          <w:sz w:val="22"/>
        </w:rPr>
        <w:t>1</w:t>
      </w:r>
      <w:r w:rsidR="00371DBB">
        <w:rPr>
          <w:rFonts w:ascii="Arial" w:hAnsi="Arial"/>
          <w:sz w:val="22"/>
        </w:rPr>
        <w:t>.</w:t>
      </w:r>
      <w:r w:rsidR="001E08A2">
        <w:rPr>
          <w:rFonts w:ascii="Arial" w:hAnsi="Arial"/>
          <w:sz w:val="22"/>
        </w:rPr>
        <w:t>5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1A8F76C5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371DBB">
        <w:rPr>
          <w:rFonts w:ascii="Arial" w:hAnsi="Arial"/>
          <w:sz w:val="22"/>
        </w:rPr>
        <w:t>Remaining aspects of NR-LTE coexistence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2" w:name="DocumentFor"/>
      <w:bookmarkEnd w:id="2"/>
      <w:r w:rsidRPr="00214458">
        <w:rPr>
          <w:rFonts w:ascii="Arial" w:hAnsi="Arial"/>
          <w:sz w:val="22"/>
        </w:rPr>
        <w:t>Discussion/Decision</w:t>
      </w:r>
    </w:p>
    <w:p w14:paraId="79BB1B49" w14:textId="77777777" w:rsidR="00111D48" w:rsidRPr="00082D56" w:rsidRDefault="00111D48" w:rsidP="003B3667">
      <w:pPr>
        <w:pStyle w:val="Heading1"/>
        <w:rPr>
          <w:lang w:eastAsia="zh-CN"/>
        </w:rPr>
      </w:pPr>
      <w:r w:rsidRPr="003B3667">
        <w:t>Introduction</w:t>
      </w:r>
    </w:p>
    <w:p w14:paraId="3A8FDBF4" w14:textId="55DAFD5A" w:rsidR="00213E7D" w:rsidRPr="00441C68" w:rsidRDefault="000C6594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contribution, we discuss the synchronization aspects of NR-LTE coexistence. </w:t>
      </w:r>
      <w:r w:rsidR="002F6B41">
        <w:rPr>
          <w:rFonts w:eastAsia="MS Mincho"/>
          <w:lang w:val="en-US"/>
        </w:rPr>
        <w:t xml:space="preserve"> </w:t>
      </w:r>
      <w:r w:rsidR="00237F78"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</w:p>
    <w:p w14:paraId="4A4AEF17" w14:textId="77777777" w:rsidR="002F6B41" w:rsidRPr="002F6B41" w:rsidRDefault="002F6B41" w:rsidP="003B3667">
      <w:pPr>
        <w:pStyle w:val="Heading1"/>
      </w:pPr>
      <w:r>
        <w:rPr>
          <w:lang w:eastAsia="zh-CN"/>
        </w:rPr>
        <w:t>Discussion</w:t>
      </w:r>
    </w:p>
    <w:p w14:paraId="13CFB0F1" w14:textId="645CBBA7" w:rsidR="009F5D24" w:rsidRDefault="000C6594" w:rsidP="00533F0B">
      <w:pPr>
        <w:jc w:val="both"/>
        <w:rPr>
          <w:rFonts w:eastAsia="MS Mincho"/>
          <w:lang w:val="en-US"/>
        </w:rPr>
      </w:pPr>
      <w:r w:rsidRPr="000C6594">
        <w:rPr>
          <w:rFonts w:eastAsia="MS Mincho"/>
          <w:lang w:val="en-US"/>
        </w:rPr>
        <w:t xml:space="preserve">At </w:t>
      </w:r>
      <w:r>
        <w:rPr>
          <w:rFonts w:eastAsia="MS Mincho"/>
          <w:lang w:val="en-US"/>
        </w:rPr>
        <w:t xml:space="preserve">RAN1 AH 1801, the following agreement was made: </w:t>
      </w:r>
    </w:p>
    <w:p w14:paraId="1437D61B" w14:textId="77777777" w:rsidR="008861F7" w:rsidRPr="00095DE1" w:rsidRDefault="008861F7" w:rsidP="008861F7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b/>
          <w:bCs/>
          <w:lang w:val="en-US" w:eastAsia="x-none"/>
        </w:rPr>
        <w:t>Agreement:</w:t>
      </w:r>
    </w:p>
    <w:p w14:paraId="3D1D73EB" w14:textId="77777777" w:rsidR="008861F7" w:rsidRPr="00095DE1" w:rsidRDefault="008861F7" w:rsidP="008861F7">
      <w:pPr>
        <w:numPr>
          <w:ilvl w:val="1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>For LTE/NR NSA operation,</w:t>
      </w:r>
    </w:p>
    <w:p w14:paraId="2DF4DB5C" w14:textId="77777777" w:rsidR="008861F7" w:rsidRPr="00095DE1" w:rsidRDefault="008861F7" w:rsidP="008861F7">
      <w:pPr>
        <w:numPr>
          <w:ilvl w:val="2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 xml:space="preserve">If this UE supports dual UL operation </w:t>
      </w:r>
      <w:proofErr w:type="gramStart"/>
      <w:r w:rsidRPr="00095DE1">
        <w:rPr>
          <w:lang w:val="en-US" w:eastAsia="x-none"/>
        </w:rPr>
        <w:t>and also</w:t>
      </w:r>
      <w:proofErr w:type="gramEnd"/>
      <w:r w:rsidRPr="00095DE1">
        <w:rPr>
          <w:lang w:val="en-US" w:eastAsia="x-none"/>
        </w:rPr>
        <w:t xml:space="preserve"> supports single UL operation with Case 1 HARQ timing, RRC signaling can configure a UE to operate in one of the following modes:</w:t>
      </w:r>
    </w:p>
    <w:p w14:paraId="25901BDC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>Dual UL operation</w:t>
      </w:r>
    </w:p>
    <w:p w14:paraId="24898CAF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>Single UL operation with Case 1 HARQ timing</w:t>
      </w:r>
    </w:p>
    <w:p w14:paraId="4BE6CD2C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>Single UL operation with Case 2 HARQ timing</w:t>
      </w:r>
    </w:p>
    <w:p w14:paraId="7059E247" w14:textId="77777777" w:rsidR="008861F7" w:rsidRPr="00095DE1" w:rsidRDefault="008861F7" w:rsidP="008861F7">
      <w:pPr>
        <w:numPr>
          <w:ilvl w:val="2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 xml:space="preserve">For UE supporting single UL operation and with Case 1 HARQ timing if UE does not support </w:t>
      </w:r>
      <w:r w:rsidRPr="00095DE1">
        <w:rPr>
          <w:i/>
          <w:iCs/>
          <w:lang w:val="en-US" w:eastAsia="x-none"/>
        </w:rPr>
        <w:t>power scaling for LTE-NR DC</w:t>
      </w:r>
      <w:r w:rsidRPr="00095DE1">
        <w:rPr>
          <w:lang w:val="en-US" w:eastAsia="x-none"/>
        </w:rPr>
        <w:t xml:space="preserve"> with P_LTE+P_NR&gt;</w:t>
      </w:r>
      <w:proofErr w:type="spellStart"/>
      <w:r w:rsidRPr="00095DE1">
        <w:rPr>
          <w:lang w:val="en-US" w:eastAsia="x-none"/>
        </w:rPr>
        <w:t>Pcmax</w:t>
      </w:r>
      <w:proofErr w:type="spellEnd"/>
      <w:r w:rsidRPr="00095DE1">
        <w:rPr>
          <w:lang w:val="en-US" w:eastAsia="x-none"/>
        </w:rPr>
        <w:t>, UE shall support the following two operations:</w:t>
      </w:r>
    </w:p>
    <w:p w14:paraId="434AC111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 xml:space="preserve">Operation A with Case1: P_LTE + P_NR &gt; </w:t>
      </w:r>
      <w:proofErr w:type="spellStart"/>
      <w:r w:rsidRPr="00095DE1">
        <w:rPr>
          <w:lang w:val="en-US" w:eastAsia="x-none"/>
        </w:rPr>
        <w:t>Pcmax</w:t>
      </w:r>
      <w:proofErr w:type="spellEnd"/>
      <w:r w:rsidRPr="00095DE1">
        <w:rPr>
          <w:lang w:val="en-US" w:eastAsia="x-none"/>
        </w:rPr>
        <w:t>, in which case the UE assumes that no NR UL transmission takes place in an UL subframe/slot that is designated as LTE UL in the Case 1 reference TDD configuration</w:t>
      </w:r>
    </w:p>
    <w:p w14:paraId="25DD8C02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val="en-US" w:eastAsia="x-none"/>
        </w:rPr>
        <w:t xml:space="preserve">Operation B with Case1: P_LTE + P_NR &lt;= </w:t>
      </w:r>
      <w:proofErr w:type="spellStart"/>
      <w:r w:rsidRPr="00095DE1">
        <w:rPr>
          <w:lang w:val="en-US" w:eastAsia="x-none"/>
        </w:rPr>
        <w:t>Pcmax</w:t>
      </w:r>
      <w:proofErr w:type="spellEnd"/>
      <w:r w:rsidRPr="00095DE1">
        <w:rPr>
          <w:lang w:val="en-US" w:eastAsia="x-none"/>
        </w:rPr>
        <w:t xml:space="preserve">, in which case NR UL can be scheduled in any UL subframe/slot (while </w:t>
      </w:r>
      <w:r w:rsidRPr="00095DE1">
        <w:rPr>
          <w:lang w:eastAsia="x-none"/>
        </w:rPr>
        <w:t xml:space="preserve">the UE behaviour in case of being simultaneously scheduled on LTE and NR uplinks is not specified) </w:t>
      </w:r>
    </w:p>
    <w:p w14:paraId="3F50F29B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eastAsia="x-none"/>
        </w:rPr>
        <w:t xml:space="preserve">The </w:t>
      </w:r>
      <w:r w:rsidRPr="00095DE1">
        <w:rPr>
          <w:lang w:val="en-US" w:eastAsia="x-none"/>
        </w:rPr>
        <w:t>operation</w:t>
      </w:r>
      <w:r w:rsidRPr="00095DE1">
        <w:rPr>
          <w:lang w:eastAsia="x-none"/>
        </w:rPr>
        <w:t xml:space="preserve"> A vs </w:t>
      </w:r>
      <w:r w:rsidRPr="00095DE1">
        <w:rPr>
          <w:lang w:val="en-US" w:eastAsia="x-none"/>
        </w:rPr>
        <w:t>operation</w:t>
      </w:r>
      <w:r w:rsidRPr="00095DE1">
        <w:rPr>
          <w:lang w:eastAsia="x-none"/>
        </w:rPr>
        <w:t xml:space="preserve"> B configuration is implicitly determined based on </w:t>
      </w:r>
      <w:r w:rsidRPr="00095DE1">
        <w:rPr>
          <w:lang w:val="en-US" w:eastAsia="x-none"/>
        </w:rPr>
        <w:t>P_LTE and P_NR</w:t>
      </w:r>
    </w:p>
    <w:p w14:paraId="1F7801E5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eastAsia="x-none"/>
        </w:rPr>
        <w:t xml:space="preserve">Note that the above agreement does not affect the </w:t>
      </w:r>
      <w:proofErr w:type="gramStart"/>
      <w:r w:rsidRPr="00095DE1">
        <w:rPr>
          <w:lang w:eastAsia="x-none"/>
        </w:rPr>
        <w:t>current status</w:t>
      </w:r>
      <w:proofErr w:type="gramEnd"/>
      <w:r w:rsidRPr="00095DE1">
        <w:rPr>
          <w:lang w:eastAsia="x-none"/>
        </w:rPr>
        <w:t xml:space="preserve"> on the optional/mandatory support of </w:t>
      </w:r>
      <w:r w:rsidRPr="00095DE1">
        <w:rPr>
          <w:i/>
          <w:iCs/>
          <w:lang w:val="en-US" w:eastAsia="x-none"/>
        </w:rPr>
        <w:t>power scaling for LTE-NR DC</w:t>
      </w:r>
      <w:r w:rsidRPr="00095DE1">
        <w:rPr>
          <w:lang w:eastAsia="x-none"/>
        </w:rPr>
        <w:t xml:space="preserve"> with </w:t>
      </w:r>
      <w:r w:rsidRPr="00095DE1">
        <w:rPr>
          <w:lang w:val="en-US" w:eastAsia="x-none"/>
        </w:rPr>
        <w:t xml:space="preserve">P_LTE + P_NR &gt; </w:t>
      </w:r>
      <w:proofErr w:type="spellStart"/>
      <w:r w:rsidRPr="00095DE1">
        <w:rPr>
          <w:lang w:val="en-US" w:eastAsia="x-none"/>
        </w:rPr>
        <w:t>Pcmax</w:t>
      </w:r>
      <w:proofErr w:type="spellEnd"/>
    </w:p>
    <w:p w14:paraId="59ED8302" w14:textId="77777777" w:rsidR="008861F7" w:rsidRPr="00095DE1" w:rsidRDefault="008861F7" w:rsidP="008861F7">
      <w:pPr>
        <w:numPr>
          <w:ilvl w:val="3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lang w:val="en-US" w:eastAsia="x-none"/>
        </w:rPr>
      </w:pPr>
      <w:r w:rsidRPr="00095DE1">
        <w:rPr>
          <w:lang w:eastAsia="x-none"/>
        </w:rPr>
        <w:t xml:space="preserve">Note that the above agreement can become obsolete if </w:t>
      </w:r>
      <w:r w:rsidRPr="00095DE1">
        <w:rPr>
          <w:i/>
          <w:iCs/>
          <w:lang w:val="en-US" w:eastAsia="x-none"/>
        </w:rPr>
        <w:t>power scaling for LTE-NR DC</w:t>
      </w:r>
      <w:r w:rsidRPr="00095DE1">
        <w:rPr>
          <w:lang w:eastAsia="x-none"/>
        </w:rPr>
        <w:t xml:space="preserve"> is mandated to all UEs</w:t>
      </w:r>
    </w:p>
    <w:p w14:paraId="5497D4FA" w14:textId="77777777" w:rsidR="000C6594" w:rsidRPr="000C6594" w:rsidRDefault="000C6594" w:rsidP="00533F0B">
      <w:pPr>
        <w:jc w:val="both"/>
        <w:rPr>
          <w:rFonts w:eastAsia="MS Mincho"/>
          <w:lang w:val="en-US"/>
        </w:rPr>
      </w:pPr>
    </w:p>
    <w:p w14:paraId="7909B320" w14:textId="44EB79CA" w:rsidR="008861F7" w:rsidRDefault="008861F7" w:rsidP="003B3667">
      <w:pPr>
        <w:rPr>
          <w:lang w:val="en-US"/>
        </w:rPr>
      </w:pPr>
      <w:r>
        <w:rPr>
          <w:lang w:val="en-US"/>
        </w:rPr>
        <w:t xml:space="preserve">Although it was not clearly described, it is our understanding that both SUO Case 1 and Case 2 are only applicable when NR and LTE are synchronized. We propose that this should be captured in the specification. </w:t>
      </w:r>
    </w:p>
    <w:p w14:paraId="2E027360" w14:textId="0C14594A" w:rsidR="008861F7" w:rsidRDefault="008861F7" w:rsidP="003B3667">
      <w:pPr>
        <w:rPr>
          <w:lang w:val="en-US"/>
        </w:rPr>
      </w:pPr>
    </w:p>
    <w:p w14:paraId="03B224FB" w14:textId="1B61717F" w:rsidR="008861F7" w:rsidRPr="008861F7" w:rsidRDefault="008861F7" w:rsidP="003B3667">
      <w:pPr>
        <w:rPr>
          <w:b/>
          <w:lang w:val="en-US"/>
        </w:rPr>
      </w:pPr>
      <w:r w:rsidRPr="008861F7">
        <w:rPr>
          <w:b/>
          <w:lang w:val="en-US"/>
        </w:rPr>
        <w:t>Proposal:  B</w:t>
      </w:r>
      <w:r w:rsidRPr="008861F7">
        <w:rPr>
          <w:b/>
          <w:lang w:val="en-US"/>
        </w:rPr>
        <w:t>oth SUO Case 1 and Case 2 are only applicable whe</w:t>
      </w:r>
      <w:r w:rsidRPr="008861F7">
        <w:rPr>
          <w:b/>
          <w:lang w:val="en-US"/>
        </w:rPr>
        <w:t>n</w:t>
      </w:r>
      <w:r w:rsidRPr="008861F7">
        <w:rPr>
          <w:b/>
          <w:lang w:val="en-US"/>
        </w:rPr>
        <w:t xml:space="preserve"> NR and LTE are </w:t>
      </w:r>
      <w:r w:rsidRPr="008861F7">
        <w:rPr>
          <w:b/>
          <w:lang w:val="en-US"/>
        </w:rPr>
        <w:t xml:space="preserve">time </w:t>
      </w:r>
      <w:r w:rsidRPr="008861F7">
        <w:rPr>
          <w:b/>
          <w:lang w:val="en-US"/>
        </w:rPr>
        <w:t>synchronized.</w:t>
      </w:r>
    </w:p>
    <w:p w14:paraId="6A40D7E5" w14:textId="23BCEDFF" w:rsidR="008861F7" w:rsidRDefault="008861F7" w:rsidP="003B3667">
      <w:pPr>
        <w:rPr>
          <w:lang w:val="en-US"/>
        </w:rPr>
      </w:pPr>
    </w:p>
    <w:p w14:paraId="220303A4" w14:textId="3D0D4874" w:rsidR="008861F7" w:rsidRPr="003B3667" w:rsidRDefault="008861F7" w:rsidP="003B3667">
      <w:pPr>
        <w:rPr>
          <w:lang w:val="en-US"/>
        </w:rPr>
      </w:pPr>
      <w:r>
        <w:rPr>
          <w:lang w:val="en-US"/>
        </w:rPr>
        <w:t xml:space="preserve">RAN4 may further discuss the time synchronization </w:t>
      </w:r>
      <w:r w:rsidR="00F50FBD">
        <w:rPr>
          <w:lang w:val="en-US"/>
        </w:rPr>
        <w:t xml:space="preserve">accuracy </w:t>
      </w:r>
      <w:r>
        <w:rPr>
          <w:lang w:val="en-US"/>
        </w:rPr>
        <w:t xml:space="preserve">requirements. </w:t>
      </w:r>
    </w:p>
    <w:p w14:paraId="5BEAB618" w14:textId="77777777" w:rsidR="00111D48" w:rsidRPr="00677958" w:rsidRDefault="00111D48" w:rsidP="00CD6F56">
      <w:pPr>
        <w:pStyle w:val="Heading1"/>
        <w:rPr>
          <w:lang w:eastAsia="zh-CN"/>
        </w:rPr>
      </w:pPr>
      <w:r w:rsidRPr="00677958">
        <w:rPr>
          <w:lang w:eastAsia="zh-CN"/>
        </w:rPr>
        <w:lastRenderedPageBreak/>
        <w:t xml:space="preserve">Conclusion </w:t>
      </w:r>
    </w:p>
    <w:p w14:paraId="15B39414" w14:textId="63DAB8E5" w:rsidR="003673BF" w:rsidRDefault="00704AE7" w:rsidP="003673BF">
      <w:pPr>
        <w:jc w:val="both"/>
        <w:rPr>
          <w:rFonts w:eastAsia="MS Mincho"/>
          <w:lang w:val="en-US"/>
        </w:rPr>
      </w:pPr>
      <w:r w:rsidRPr="00533F0B">
        <w:rPr>
          <w:rFonts w:eastAsia="MS Mincho"/>
          <w:lang w:val="en-US"/>
        </w:rPr>
        <w:t xml:space="preserve">This contribution has </w:t>
      </w:r>
      <w:r w:rsidR="00326667">
        <w:rPr>
          <w:rFonts w:eastAsia="MS Mincho"/>
          <w:lang w:val="en-US"/>
        </w:rPr>
        <w:t>discussed</w:t>
      </w:r>
      <w:r w:rsidR="003F0566">
        <w:rPr>
          <w:rFonts w:eastAsia="MS Mincho"/>
          <w:lang w:val="en-US"/>
        </w:rPr>
        <w:t xml:space="preserve"> the</w:t>
      </w:r>
      <w:r w:rsidR="00F50FBD">
        <w:rPr>
          <w:rFonts w:eastAsia="MS Mincho"/>
          <w:lang w:val="en-US"/>
        </w:rPr>
        <w:t xml:space="preserve"> time synchronization assumptions for NR-LTE coexistence</w:t>
      </w:r>
      <w:r w:rsidR="00326667">
        <w:rPr>
          <w:rFonts w:eastAsia="MS Mincho"/>
          <w:lang w:val="en-US"/>
        </w:rPr>
        <w:t xml:space="preserve">. </w:t>
      </w:r>
      <w:r w:rsidR="003673BF">
        <w:rPr>
          <w:rFonts w:eastAsia="MS Mincho"/>
          <w:lang w:val="en-US"/>
        </w:rPr>
        <w:t>The following proposal w</w:t>
      </w:r>
      <w:r w:rsidR="00F50FBD">
        <w:rPr>
          <w:rFonts w:eastAsia="MS Mincho"/>
          <w:lang w:val="en-US"/>
        </w:rPr>
        <w:t>as</w:t>
      </w:r>
      <w:r w:rsidR="003673BF">
        <w:rPr>
          <w:rFonts w:eastAsia="MS Mincho"/>
          <w:lang w:val="en-US"/>
        </w:rPr>
        <w:t xml:space="preserve"> made: </w:t>
      </w:r>
    </w:p>
    <w:p w14:paraId="5AD9AC55" w14:textId="77777777" w:rsidR="00F50FBD" w:rsidRPr="003673BF" w:rsidRDefault="00F50FBD" w:rsidP="003673BF">
      <w:pPr>
        <w:jc w:val="both"/>
        <w:rPr>
          <w:rFonts w:eastAsia="MS Mincho"/>
          <w:lang w:val="en-US"/>
        </w:rPr>
      </w:pPr>
    </w:p>
    <w:p w14:paraId="1FDA6693" w14:textId="77777777" w:rsidR="008861F7" w:rsidRPr="008861F7" w:rsidRDefault="008861F7" w:rsidP="008861F7">
      <w:pPr>
        <w:rPr>
          <w:b/>
          <w:lang w:val="en-US"/>
        </w:rPr>
      </w:pPr>
      <w:bookmarkStart w:id="3" w:name="_Hlk495208616"/>
      <w:r w:rsidRPr="008861F7">
        <w:rPr>
          <w:b/>
          <w:lang w:val="en-US"/>
        </w:rPr>
        <w:t>Proposal:  Both SUO Case 1 and Case 2 are only applicable when NR and LTE are time synchronized.</w:t>
      </w:r>
    </w:p>
    <w:p w14:paraId="6B695DD7" w14:textId="77777777" w:rsidR="00BD1480" w:rsidRDefault="00BD1480" w:rsidP="003673BF">
      <w:pPr>
        <w:rPr>
          <w:b/>
          <w:lang w:eastAsia="zh-CN"/>
        </w:rPr>
      </w:pPr>
    </w:p>
    <w:bookmarkEnd w:id="3"/>
    <w:p w14:paraId="693D920A" w14:textId="3A7FD97B" w:rsidR="00360B59" w:rsidRDefault="00360B59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</w:rPr>
      </w:pPr>
    </w:p>
    <w:p w14:paraId="7EA3DA15" w14:textId="77777777" w:rsidR="00DC6926" w:rsidRDefault="00DC6926" w:rsidP="00DC692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0EB4B75B" w14:textId="14B8AFCE" w:rsidR="000F273C" w:rsidRDefault="007725E9" w:rsidP="000F273C">
      <w:pPr>
        <w:rPr>
          <w:lang w:val="sv-SE"/>
        </w:rPr>
      </w:pPr>
      <w:r>
        <w:rPr>
          <w:lang w:val="sv-SE"/>
        </w:rPr>
        <w:t xml:space="preserve">[1]  </w:t>
      </w:r>
      <w:r w:rsidR="000F273C" w:rsidRPr="000F273C">
        <w:rPr>
          <w:lang w:val="sv-SE"/>
        </w:rPr>
        <w:t>R1-1</w:t>
      </w:r>
      <w:r w:rsidR="008861F7">
        <w:rPr>
          <w:lang w:val="sv-SE"/>
        </w:rPr>
        <w:t>801231</w:t>
      </w:r>
      <w:r>
        <w:rPr>
          <w:lang w:val="sv-SE"/>
        </w:rPr>
        <w:t>, ”</w:t>
      </w:r>
      <w:r w:rsidR="008861F7" w:rsidRPr="008861F7">
        <w:rPr>
          <w:lang w:val="sv-SE"/>
        </w:rPr>
        <w:t>LS on power control for LTE-NR Dual Connectivity</w:t>
      </w:r>
      <w:r>
        <w:rPr>
          <w:lang w:val="sv-SE"/>
        </w:rPr>
        <w:t xml:space="preserve">”, </w:t>
      </w:r>
      <w:r w:rsidR="008861F7">
        <w:rPr>
          <w:lang w:val="sv-SE"/>
        </w:rPr>
        <w:t>RAN1</w:t>
      </w:r>
    </w:p>
    <w:p w14:paraId="05A09BCC" w14:textId="7D9375FF" w:rsidR="00F235D4" w:rsidRPr="000F273C" w:rsidRDefault="00F235D4" w:rsidP="000F273C">
      <w:pPr>
        <w:rPr>
          <w:lang w:val="sv-SE"/>
        </w:rPr>
      </w:pPr>
    </w:p>
    <w:p w14:paraId="496827C6" w14:textId="492B1EBB" w:rsidR="00A25E15" w:rsidRDefault="00A25E15" w:rsidP="00533F0B">
      <w:pPr>
        <w:tabs>
          <w:tab w:val="left" w:pos="450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</w:rPr>
      </w:pPr>
    </w:p>
    <w:sectPr w:rsidR="00A25E15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967A9" w14:textId="77777777" w:rsidR="00830183" w:rsidRDefault="00830183">
      <w:r>
        <w:separator/>
      </w:r>
    </w:p>
    <w:p w14:paraId="5A5A9190" w14:textId="77777777" w:rsidR="00830183" w:rsidRDefault="00830183"/>
  </w:endnote>
  <w:endnote w:type="continuationSeparator" w:id="0">
    <w:p w14:paraId="13A38FB8" w14:textId="77777777" w:rsidR="00830183" w:rsidRDefault="00830183">
      <w:r>
        <w:continuationSeparator/>
      </w:r>
    </w:p>
    <w:p w14:paraId="04CD32BB" w14:textId="77777777" w:rsidR="00830183" w:rsidRDefault="00830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21D0A1D" w:rsidR="00821186" w:rsidRDefault="00821186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97364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97364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508E00D" w14:textId="77777777" w:rsidR="00821186" w:rsidRDefault="00821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A7EED" w14:textId="77777777" w:rsidR="00830183" w:rsidRDefault="00830183">
      <w:r>
        <w:separator/>
      </w:r>
    </w:p>
    <w:p w14:paraId="07B41E06" w14:textId="77777777" w:rsidR="00830183" w:rsidRDefault="00830183"/>
  </w:footnote>
  <w:footnote w:type="continuationSeparator" w:id="0">
    <w:p w14:paraId="5ADB8319" w14:textId="77777777" w:rsidR="00830183" w:rsidRDefault="00830183">
      <w:r>
        <w:continuationSeparator/>
      </w:r>
    </w:p>
    <w:p w14:paraId="32412D7D" w14:textId="77777777" w:rsidR="00830183" w:rsidRDefault="00830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821186" w:rsidRDefault="00821186"/>
  <w:p w14:paraId="305600EF" w14:textId="77777777" w:rsidR="00821186" w:rsidRDefault="008211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5091A"/>
    <w:multiLevelType w:val="hybridMultilevel"/>
    <w:tmpl w:val="0EA64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2" w15:restartNumberingAfterBreak="0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77EC7"/>
    <w:multiLevelType w:val="hybridMultilevel"/>
    <w:tmpl w:val="C3EE1F6A"/>
    <w:lvl w:ilvl="0" w:tplc="66F8C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EECE0">
      <w:start w:val="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82EF0">
      <w:start w:val="7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611C8">
      <w:start w:val="78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18B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84A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2B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CD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6E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6"/>
  </w:num>
  <w:num w:numId="4">
    <w:abstractNumId w:val="24"/>
  </w:num>
  <w:num w:numId="5">
    <w:abstractNumId w:val="6"/>
  </w:num>
  <w:num w:numId="6">
    <w:abstractNumId w:val="13"/>
  </w:num>
  <w:num w:numId="7">
    <w:abstractNumId w:val="19"/>
  </w:num>
  <w:num w:numId="8">
    <w:abstractNumId w:val="8"/>
  </w:num>
  <w:num w:numId="9">
    <w:abstractNumId w:val="29"/>
  </w:num>
  <w:num w:numId="10">
    <w:abstractNumId w:val="27"/>
  </w:num>
  <w:num w:numId="11">
    <w:abstractNumId w:val="18"/>
  </w:num>
  <w:num w:numId="12">
    <w:abstractNumId w:val="5"/>
  </w:num>
  <w:num w:numId="13">
    <w:abstractNumId w:val="22"/>
  </w:num>
  <w:num w:numId="14">
    <w:abstractNumId w:val="21"/>
  </w:num>
  <w:num w:numId="15">
    <w:abstractNumId w:val="10"/>
  </w:num>
  <w:num w:numId="16">
    <w:abstractNumId w:val="15"/>
  </w:num>
  <w:num w:numId="17">
    <w:abstractNumId w:val="0"/>
  </w:num>
  <w:num w:numId="18">
    <w:abstractNumId w:val="17"/>
  </w:num>
  <w:num w:numId="19">
    <w:abstractNumId w:val="4"/>
  </w:num>
  <w:num w:numId="20">
    <w:abstractNumId w:val="14"/>
  </w:num>
  <w:num w:numId="21">
    <w:abstractNumId w:val="2"/>
  </w:num>
  <w:num w:numId="22">
    <w:abstractNumId w:val="3"/>
  </w:num>
  <w:num w:numId="23">
    <w:abstractNumId w:val="11"/>
  </w:num>
  <w:num w:numId="24">
    <w:abstractNumId w:val="1"/>
  </w:num>
  <w:num w:numId="25">
    <w:abstractNumId w:val="20"/>
  </w:num>
  <w:num w:numId="26">
    <w:abstractNumId w:val="16"/>
  </w:num>
  <w:num w:numId="27">
    <w:abstractNumId w:val="9"/>
  </w:num>
  <w:num w:numId="28">
    <w:abstractNumId w:val="33"/>
  </w:num>
  <w:num w:numId="29">
    <w:abstractNumId w:val="25"/>
  </w:num>
  <w:num w:numId="30">
    <w:abstractNumId w:val="31"/>
  </w:num>
  <w:num w:numId="31">
    <w:abstractNumId w:val="30"/>
  </w:num>
  <w:num w:numId="32">
    <w:abstractNumId w:val="23"/>
  </w:num>
  <w:num w:numId="33">
    <w:abstractNumId w:val="7"/>
  </w:num>
  <w:num w:numId="34">
    <w:abstractNumId w:val="12"/>
  </w:num>
  <w:num w:numId="3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594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DBB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14FC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186"/>
    <w:rsid w:val="0082124F"/>
    <w:rsid w:val="00821808"/>
    <w:rsid w:val="00822470"/>
    <w:rsid w:val="008258E0"/>
    <w:rsid w:val="00830183"/>
    <w:rsid w:val="00830EE4"/>
    <w:rsid w:val="008326C1"/>
    <w:rsid w:val="00832C72"/>
    <w:rsid w:val="00832C9A"/>
    <w:rsid w:val="00834E1C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1F7"/>
    <w:rsid w:val="008868A4"/>
    <w:rsid w:val="00887393"/>
    <w:rsid w:val="008927A9"/>
    <w:rsid w:val="00894085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642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24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625A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1967"/>
    <w:rsid w:val="00BC2B3A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5D4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FB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D9D4C71-2CC9-434A-B8B1-529E8F53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19</cp:revision>
  <cp:lastPrinted>2003-09-26T18:29:00Z</cp:lastPrinted>
  <dcterms:created xsi:type="dcterms:W3CDTF">2017-10-05T20:28:00Z</dcterms:created>
  <dcterms:modified xsi:type="dcterms:W3CDTF">2018-02-17T10:28:00Z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